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B" w:rsidRPr="0037688B" w:rsidRDefault="000D0F5B" w:rsidP="006D0FCE">
      <w:pPr>
        <w:spacing w:after="200" w:line="273" w:lineRule="auto"/>
        <w:contextualSpacing w:val="0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</w:p>
    <w:p w:rsidR="000D0F5B" w:rsidRPr="0037688B" w:rsidRDefault="006D0FCE" w:rsidP="00FC7087">
      <w:pPr>
        <w:spacing w:after="200" w:line="273" w:lineRule="auto"/>
        <w:contextualSpacing w:val="0"/>
        <w:jc w:val="right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>5</w:t>
      </w:r>
      <w:r w:rsidR="00FC7087" w:rsidRPr="0037688B"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 xml:space="preserve"> Dhjetor</w:t>
      </w:r>
      <w:r w:rsidRPr="0037688B"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 xml:space="preserve"> 2018</w:t>
      </w:r>
    </w:p>
    <w:p w:rsidR="000D0F5B" w:rsidRPr="0037688B" w:rsidRDefault="000D0F5B">
      <w:pPr>
        <w:spacing w:after="200" w:line="273" w:lineRule="auto"/>
        <w:contextualSpacing w:val="0"/>
        <w:jc w:val="right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</w:p>
    <w:p w:rsidR="000D0F5B" w:rsidRPr="0037688B" w:rsidRDefault="000D0F5B">
      <w:pPr>
        <w:spacing w:after="40" w:line="268" w:lineRule="auto"/>
        <w:contextualSpacing w:val="0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</w:p>
    <w:p w:rsidR="000D0F5B" w:rsidRPr="0037688B" w:rsidRDefault="006E2CE1">
      <w:pPr>
        <w:spacing w:after="40" w:line="268" w:lineRule="auto"/>
        <w:contextualSpacing w:val="0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>Denisa Xhoga</w:t>
      </w:r>
    </w:p>
    <w:p w:rsidR="000D0F5B" w:rsidRPr="0037688B" w:rsidRDefault="006E2CE1">
      <w:pPr>
        <w:spacing w:after="40" w:line="268" w:lineRule="auto"/>
        <w:contextualSpacing w:val="0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>Specialiste Komunikimi</w:t>
      </w:r>
    </w:p>
    <w:p w:rsidR="000D0F5B" w:rsidRPr="0037688B" w:rsidRDefault="00350819">
      <w:pPr>
        <w:spacing w:after="40" w:line="268" w:lineRule="auto"/>
        <w:contextualSpacing w:val="0"/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</w:pPr>
      <w:r>
        <w:rPr>
          <w:rFonts w:ascii="Georgia" w:eastAsia="Georgia" w:hAnsi="Georgia" w:cs="Georgia"/>
          <w:color w:val="26282A"/>
          <w:sz w:val="26"/>
          <w:szCs w:val="26"/>
          <w:highlight w:val="white"/>
          <w:lang w:val="sq-AL"/>
        </w:rPr>
        <w:t>Agjencia Kombëtare për Zonat e Mbrojtura</w:t>
      </w:r>
    </w:p>
    <w:p w:rsidR="000D0F5B" w:rsidRPr="0037688B" w:rsidRDefault="000D0F5B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</w:p>
    <w:p w:rsidR="000D0F5B" w:rsidRPr="0037688B" w:rsidRDefault="00FC7087" w:rsidP="00FC7087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E nderuar znj. 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Xhoga,</w:t>
      </w:r>
    </w:p>
    <w:p w:rsidR="00FC7087" w:rsidRPr="0037688B" w:rsidRDefault="00FC7087" w:rsidP="00FC7087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Faleminderit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letr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 tuaj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4 dhjetorit 2018,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lidhje me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artikull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publikuar 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29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ntor 2018 nga Rrjeti Ballkanik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Gazetarin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Investigative (BIRN) mbi prerjen e paligjshme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pem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ve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Parkun Komb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tar Shebenik-Jabllanic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. </w:t>
      </w:r>
    </w:p>
    <w:p w:rsidR="00FC7087" w:rsidRPr="0037688B" w:rsidRDefault="00FC7087" w:rsidP="00FC7087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Ky artikull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shkruar nga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gazetar i zgjedhur si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nga 10 bursist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 e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tij viti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Burs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 Ballkanike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Gazetari Ekselente,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program i mb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shtetur nga Fondacioni Erste dhe Fondacionet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Shoq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ri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Hapur dhe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zbatohet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bashk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punim me BIRN. Si redaktor i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tij programi, un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po ju shkru</w:t>
      </w:r>
      <w:r w:rsid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a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j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lidhje me shqet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simet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ju ngrini. </w:t>
      </w:r>
    </w:p>
    <w:p w:rsidR="00FC7087" w:rsidRPr="0037688B" w:rsidRDefault="00FC7087" w:rsidP="00FC7087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Ne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BIRN i marrim seriozisht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shtjet e sakt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sis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Un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 vler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soj koh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ju keni shpenzuar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na shkruar dhe ju siguroj se e kam lexuar letr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 tuaj me kujdes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ve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ant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. </w:t>
      </w:r>
    </w:p>
    <w:p w:rsidR="00B647AD" w:rsidRPr="0037688B" w:rsidRDefault="00B647AD" w:rsidP="00B647AD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Ju thoni se artikulli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rmban gabime dhe informacion kontradiktor. Un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do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trajtoj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to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 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posht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Me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rjashtim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mundsh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m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detajeve mbi lart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sin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 parkut dhe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rqi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ndjen e biodiversitetit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parkut (ju lutem lexoni sh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nimet e mija mbi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to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shtje), ne i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ndrojm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substanc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 faktuale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artikullit. Ne kemi gjithashtu fotografi, video dhe regjistrime audio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mb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shtetur raportimin dhe ne kemi 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gjitha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rpjekjet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baz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u</w:t>
      </w:r>
      <w:r w:rsid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a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informacionin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burime qart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dhe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nyr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transparente. </w:t>
      </w:r>
    </w:p>
    <w:p w:rsidR="00B647AD" w:rsidRPr="0037688B" w:rsidRDefault="00B647AD" w:rsidP="00B647AD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seriozisht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, ju thoni se disa nga citimet jan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stisura. Un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ju siguroj ju absolutisht se kjo nuk ka ndodhur. Ne kemi regjistrime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intervistave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fjal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. </w:t>
      </w:r>
    </w:p>
    <w:p w:rsidR="000D0F5B" w:rsidRPr="0037688B" w:rsidRDefault="00B647AD" w:rsidP="00B647AD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lidhje me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shtjet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ju ngrini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:</w:t>
      </w:r>
    </w:p>
    <w:p w:rsidR="000D0F5B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lastRenderedPageBreak/>
        <w:t xml:space="preserve">Mbi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shtjen e rrug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ve dhe automjeteve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nda, ne mund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konfirmojm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rve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shtigjeve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ecjes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mb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, ka me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rtet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fshatra brenda parkut dhe rrug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ojn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to fshatra.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shum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raste, rrug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 e paasfaltuara jan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mjaftuesh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m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gjera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t'u kaluar me kamion apo autobuz. Vet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gazetari udh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toi me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kamion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madh dhe pa disa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tjer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Ne kemi prova video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tep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r, fshati Rrajca-Sk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nderbej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padyshim i aksesuesh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m me rrug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Ju lutem vini re se nd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rsa Rrajca-Sk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nderbej u shfaq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artikull si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fshat pran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vendit ku u pa prerja e paligjshme e pyjeve, burimet thon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kjo nuk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pjesa e vetme e parkut e prekur nga prerjet e paligjshme. </w:t>
      </w:r>
    </w:p>
    <w:p w:rsidR="000D0F5B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Ne mund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konfirmojm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gazetari pa pirgje me trungje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sapoprera brenda parkut. </w:t>
      </w:r>
    </w:p>
    <w:p w:rsidR="00B647AD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lidhje mbi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shtjen e koh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s, pjesa 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 madhe e k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rkimit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gazetarit mbi prerjet e paligjshme,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rfshir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vrojtimin prej tij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kafene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Hotolisht, ndodh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ver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Artikulli u publikua me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rtet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dim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r.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transparenc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plot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, ne ishim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qart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kur ishin b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v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zhgimet. </w:t>
      </w:r>
    </w:p>
    <w:p w:rsidR="000D0F5B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Ju lutem vini re se artikulli nuk thot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Hotolishti gjendet brenda parkut, si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duket se ju sugjeroni. </w:t>
      </w:r>
    </w:p>
    <w:p w:rsidR="000D0F5B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Sa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 kamion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park, ne kemi prova me fotografi 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buldozeri brenda parkut. </w:t>
      </w:r>
    </w:p>
    <w:p w:rsidR="000D0F5B" w:rsidRPr="0037688B" w:rsidRDefault="00B647AD" w:rsidP="00B647AD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Artikulli nuk thot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dhe as nuk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nkupton se lejet e para duke iu dh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shoferit ishin dh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nga AKZM, si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ç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sugjeroni ju. Lejet ishin nga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burim tjet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r. </w:t>
      </w:r>
    </w:p>
    <w:p w:rsidR="000D0F5B" w:rsidRPr="0037688B" w:rsidRDefault="00B647AD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b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lidhje me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rmendjen e Dardh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s, un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nuk shoh kontradikt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. Artikulli nuk thot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Dardha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brenda parkut. Artikulli citon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burim 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treg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thot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furnizuesit e tij p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rdorin dokumente q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thon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se druri i tyre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sht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nga Dardha, nj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zon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ë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 pambrojtur, </w:t>
      </w:r>
      <w:r w:rsidR="0037688B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ndërkohë që burimi thotë se druri në fakt vjen nga parku. Me fjalë të tjera, burimi pretendon se dokumentet janë keqpërdorur për të fshehur burimin e vërtetë të lëndës drusore. </w:t>
      </w:r>
    </w:p>
    <w:p w:rsidR="0037688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lidhje me kamionët e ngarkuar me lëndë drusore, artikulli thjeshtë raporton çfarë gazetari pa me sytë e tij (dhe i fotografoi). </w:t>
      </w:r>
    </w:p>
    <w:p w:rsidR="000D0F5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lastRenderedPageBreak/>
        <w:t xml:space="preserve">Në lidhje me përqindjen e biodiversitetit të parkut, 70%, kjo shifër është qartazi me burim nga Klubi Ekologjik Shqiptar. Nëse AKZM mund të konfirmojë se parku përmban vetëm 30% të biodiversitetit të Shqipërisë dhe se shifra nga Klubi Ekologjik Shqiptar është e pasaktë, ne do të mendojmë të publikojmë një sqarim. </w:t>
      </w:r>
    </w:p>
    <w:p w:rsidR="000D0F5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Informacioni që prerja e paligjshme ndodhi në mbi 2 mijë metra vjen nga burime brenda parkut. Nëse kjo është</w:t>
      </w:r>
      <w:r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 e pasak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të, ne natyrisht do të publikojmë një saktësim. Ne do të konsultohemi me harta topografike për të konfirmuar lartësinë e saktë. </w:t>
      </w:r>
    </w:p>
    <w:p w:rsidR="0037688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lidhje me 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“APA </w:t>
      </w:r>
      <w:r w:rsidR="002C3FAF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Libraz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h</w:t>
      </w:r>
      <w:r w:rsidR="002C3FAF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d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”: 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referencën e parë, artikulli përdor Administrata për Zonat e Mbrojtura Elbasan dhe më pas përdor </w:t>
      </w:r>
      <w:r w:rsidR="002C3FAF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“APA Libraz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h</w:t>
      </w:r>
      <w:r w:rsidR="002C3FAF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d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” 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si një referencë e shkurtuar për Administratën. Ky emërtim konvencion përdoret në anglisht nga Delegacioni i BE-së në Shqipëri. Nëse ka një mënyrë të parapëlqyer për t'iu referuar Administratës në një referencë të dytë në anglisht, ne mund të jemi mëse të lumtur ta përdorim atë në të ardhmen. </w:t>
      </w:r>
    </w:p>
    <w:p w:rsidR="000D0F5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lidhje me kërkesën e gazetarit për informacion, ai dorëzoi kërkesë në Ministrinë e Turizmit dhe Mjedisit. </w:t>
      </w:r>
    </w:p>
    <w:p w:rsidR="0037688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lidhje me citimet nga Ahmet Mehmeti, ne mund të konfirmojmë se ato janë të sakta dhe jo të stisura. Gazetari u takua me z. Mehmeti më 28 gusht 2018 dhe e regjistroi intervistën. Ai i shpjegoi qartazi z. Mehmeti se për çfarë ishte intervista. </w:t>
      </w:r>
    </w:p>
    <w:p w:rsidR="000D0F5B" w:rsidRPr="0037688B" w:rsidRDefault="0037688B" w:rsidP="0037688B">
      <w:pPr>
        <w:numPr>
          <w:ilvl w:val="0"/>
          <w:numId w:val="1"/>
        </w:num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Në lidhje me citimet nga </w:t>
      </w:r>
      <w:r w:rsidR="006E2CE1"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Bajram Kullolli, </w:t>
      </w: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këto janë gjithashtu të sakta. Gazetari u takua me z. Kullolli më 9 gusht 2018 dhe e regjistroi intervistën. Ai i shpjegoi qartazi z. Kullolli se për çfarë ishte intervista. </w:t>
      </w:r>
    </w:p>
    <w:p w:rsidR="0037688B" w:rsidRPr="0037688B" w:rsidRDefault="0037688B" w:rsidP="0037688B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Faleminderit sërish për ngritjen e shqetësimeve. Unë besoj se kjo letër i trajton ato të gjitha. </w:t>
      </w:r>
    </w:p>
    <w:p w:rsidR="000D0F5B" w:rsidRPr="0037688B" w:rsidRDefault="0037688B" w:rsidP="0037688B">
      <w:pPr>
        <w:spacing w:after="200" w:line="273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Me respekt, </w:t>
      </w:r>
    </w:p>
    <w:p w:rsidR="000D0F5B" w:rsidRPr="0037688B" w:rsidRDefault="006E2CE1">
      <w:pPr>
        <w:spacing w:after="40" w:line="271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Timothy Large</w:t>
      </w:r>
    </w:p>
    <w:p w:rsidR="000D0F5B" w:rsidRPr="0037688B" w:rsidRDefault="0037688B">
      <w:pPr>
        <w:spacing w:after="40" w:line="271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>Redaktor</w:t>
      </w:r>
    </w:p>
    <w:p w:rsidR="000D0F5B" w:rsidRPr="0037688B" w:rsidRDefault="0037688B" w:rsidP="0037688B">
      <w:pPr>
        <w:spacing w:after="40" w:line="271" w:lineRule="auto"/>
        <w:contextualSpacing w:val="0"/>
        <w:rPr>
          <w:rFonts w:ascii="Georgia" w:eastAsia="Georgia" w:hAnsi="Georgia" w:cs="Georgia"/>
          <w:sz w:val="26"/>
          <w:szCs w:val="26"/>
          <w:highlight w:val="white"/>
          <w:lang w:val="sq-AL"/>
        </w:rPr>
      </w:pPr>
      <w:r w:rsidRPr="0037688B">
        <w:rPr>
          <w:rFonts w:ascii="Georgia" w:eastAsia="Georgia" w:hAnsi="Georgia" w:cs="Georgia"/>
          <w:sz w:val="26"/>
          <w:szCs w:val="26"/>
          <w:highlight w:val="white"/>
          <w:lang w:val="sq-AL"/>
        </w:rPr>
        <w:t xml:space="preserve">Bursa Ballkanik për Gazetari Ekselente. </w:t>
      </w:r>
    </w:p>
    <w:p w:rsidR="000D0F5B" w:rsidRPr="0037688B" w:rsidRDefault="000D0F5B">
      <w:pPr>
        <w:contextualSpacing w:val="0"/>
        <w:rPr>
          <w:lang w:val="sq-AL"/>
        </w:rPr>
      </w:pPr>
    </w:p>
    <w:sectPr w:rsidR="000D0F5B" w:rsidRPr="0037688B" w:rsidSect="007C3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285"/>
    <w:multiLevelType w:val="multilevel"/>
    <w:tmpl w:val="763A0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0D0F5B"/>
    <w:rsid w:val="000D0F5B"/>
    <w:rsid w:val="002C3FAF"/>
    <w:rsid w:val="00350819"/>
    <w:rsid w:val="0037688B"/>
    <w:rsid w:val="00426561"/>
    <w:rsid w:val="006D0FCE"/>
    <w:rsid w:val="006E2CE1"/>
    <w:rsid w:val="007C3125"/>
    <w:rsid w:val="00AB5689"/>
    <w:rsid w:val="00B647AD"/>
    <w:rsid w:val="00B77E50"/>
    <w:rsid w:val="00FC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3125"/>
  </w:style>
  <w:style w:type="paragraph" w:styleId="Heading1">
    <w:name w:val="heading 1"/>
    <w:basedOn w:val="Normal"/>
    <w:next w:val="Normal"/>
    <w:rsid w:val="007C31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C31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C31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C31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C312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C31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312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C312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CRS</cp:lastModifiedBy>
  <cp:revision>4</cp:revision>
  <dcterms:created xsi:type="dcterms:W3CDTF">2018-12-05T13:14:00Z</dcterms:created>
  <dcterms:modified xsi:type="dcterms:W3CDTF">2018-12-06T17:48:00Z</dcterms:modified>
</cp:coreProperties>
</file>